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701C3" w14:textId="77777777" w:rsidR="00BC5555" w:rsidRPr="00BC5555" w:rsidRDefault="00BC5555" w:rsidP="00BC5555">
      <w:pPr>
        <w:rPr>
          <w:sz w:val="24"/>
          <w:szCs w:val="24"/>
        </w:rPr>
      </w:pPr>
    </w:p>
    <w:p w14:paraId="5BAB5DD8" w14:textId="77777777" w:rsidR="00BC5555" w:rsidRPr="00BC5555" w:rsidRDefault="00BC5555" w:rsidP="00BC5555">
      <w:pPr>
        <w:rPr>
          <w:sz w:val="24"/>
          <w:szCs w:val="24"/>
        </w:rPr>
      </w:pPr>
    </w:p>
    <w:p w14:paraId="583C16A9" w14:textId="77777777" w:rsidR="00BC5555" w:rsidRPr="00BC5555" w:rsidRDefault="00BC5555" w:rsidP="00BC5555">
      <w:pPr>
        <w:rPr>
          <w:sz w:val="24"/>
          <w:szCs w:val="24"/>
        </w:rPr>
      </w:pPr>
    </w:p>
    <w:p w14:paraId="143E4084" w14:textId="77777777" w:rsidR="002B3614" w:rsidRDefault="002B3614" w:rsidP="002B3614">
      <w:pPr>
        <w:tabs>
          <w:tab w:val="left" w:pos="8640"/>
        </w:tabs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ab/>
      </w:r>
    </w:p>
    <w:p w14:paraId="333DC9BE" w14:textId="77777777" w:rsidR="002B3614" w:rsidRPr="002B3614" w:rsidRDefault="002B3614" w:rsidP="002B3614">
      <w:pPr>
        <w:tabs>
          <w:tab w:val="left" w:pos="8640"/>
        </w:tabs>
        <w:rPr>
          <w:rFonts w:ascii="Arial" w:eastAsia="Times New Roman" w:hAnsi="Arial" w:cs="Arial"/>
          <w:color w:val="31849B" w:themeColor="accent5" w:themeShade="BF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31849B" w:themeColor="accent5" w:themeShade="BF"/>
          <w:sz w:val="24"/>
          <w:szCs w:val="24"/>
          <w:lang w:val="en-US"/>
        </w:rPr>
        <w:t>____________________________________________________________________</w:t>
      </w:r>
    </w:p>
    <w:p w14:paraId="647143EE" w14:textId="77777777" w:rsidR="002B3614" w:rsidRDefault="002B3614" w:rsidP="00B23153">
      <w:pPr>
        <w:rPr>
          <w:rFonts w:ascii="Arial" w:eastAsia="Times New Roman" w:hAnsi="Arial" w:cs="Arial"/>
          <w:sz w:val="24"/>
          <w:szCs w:val="24"/>
          <w:lang w:val="en-US"/>
        </w:rPr>
      </w:pPr>
    </w:p>
    <w:p w14:paraId="6847ED5B" w14:textId="77777777" w:rsidR="00A66BDF" w:rsidRDefault="00A66BDF" w:rsidP="00B23153">
      <w:pPr>
        <w:rPr>
          <w:rFonts w:ascii="Arial" w:eastAsia="Times New Roman" w:hAnsi="Arial" w:cs="Arial"/>
          <w:sz w:val="24"/>
          <w:szCs w:val="24"/>
          <w:lang w:val="en-US"/>
        </w:rPr>
      </w:pPr>
    </w:p>
    <w:p w14:paraId="2A69AB7B" w14:textId="77777777" w:rsidR="00A66BDF" w:rsidRDefault="00A66BDF" w:rsidP="00B23153">
      <w:pPr>
        <w:rPr>
          <w:rFonts w:ascii="Arial" w:eastAsia="Times New Roman" w:hAnsi="Arial" w:cs="Arial"/>
          <w:sz w:val="24"/>
          <w:szCs w:val="24"/>
          <w:lang w:val="en-US"/>
        </w:rPr>
      </w:pPr>
    </w:p>
    <w:p w14:paraId="32E444FB" w14:textId="77777777" w:rsidR="00537BF9" w:rsidRPr="00986B65" w:rsidRDefault="00E900B9" w:rsidP="00E900B9">
      <w:pPr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                                  </w:t>
      </w:r>
      <w:r w:rsidR="000F0DCD">
        <w:rPr>
          <w:rFonts w:ascii="Arial" w:eastAsia="Times New Roman" w:hAnsi="Arial" w:cs="Arial"/>
          <w:b/>
          <w:sz w:val="24"/>
          <w:szCs w:val="24"/>
          <w:lang w:val="en-US"/>
        </w:rPr>
        <w:t xml:space="preserve">EQUALITY AND DIVERSITY </w:t>
      </w:r>
      <w:r w:rsidR="00B33959" w:rsidRPr="00986B65">
        <w:rPr>
          <w:rFonts w:ascii="Arial" w:eastAsia="Times New Roman" w:hAnsi="Arial" w:cs="Arial"/>
          <w:b/>
          <w:sz w:val="24"/>
          <w:szCs w:val="24"/>
          <w:lang w:val="en-US"/>
        </w:rPr>
        <w:t>POLICY</w:t>
      </w:r>
    </w:p>
    <w:p w14:paraId="7A372CF8" w14:textId="77777777" w:rsidR="00B33959" w:rsidRPr="00986B65" w:rsidRDefault="00B33959" w:rsidP="00B33959">
      <w:pPr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31C5137E" w14:textId="77777777" w:rsidR="000F0DCD" w:rsidRDefault="000F0DCD" w:rsidP="000F0DCD">
      <w:pPr>
        <w:rPr>
          <w:rFonts w:ascii="Arial" w:hAnsi="Arial" w:cs="Arial"/>
        </w:rPr>
      </w:pPr>
      <w:r w:rsidRPr="000F0DCD">
        <w:rPr>
          <w:rFonts w:ascii="Arial" w:hAnsi="Arial" w:cs="Arial"/>
        </w:rPr>
        <w:t xml:space="preserve">The aim of this policy is to </w:t>
      </w:r>
      <w:r w:rsidR="00A66BDF">
        <w:rPr>
          <w:rFonts w:ascii="Arial" w:hAnsi="Arial" w:cs="Arial"/>
        </w:rPr>
        <w:t>af</w:t>
      </w:r>
      <w:r w:rsidR="00E3350A">
        <w:rPr>
          <w:rFonts w:ascii="Arial" w:hAnsi="Arial" w:cs="Arial"/>
        </w:rPr>
        <w:t>firm the</w:t>
      </w:r>
      <w:r w:rsidRPr="000F0DCD">
        <w:rPr>
          <w:rFonts w:ascii="Arial" w:hAnsi="Arial" w:cs="Arial"/>
        </w:rPr>
        <w:t xml:space="preserve"> commitment of </w:t>
      </w:r>
      <w:r w:rsidR="00345CFC">
        <w:rPr>
          <w:rFonts w:ascii="Arial" w:hAnsi="Arial" w:cs="Arial"/>
        </w:rPr>
        <w:t>Barnby in the Willows</w:t>
      </w:r>
      <w:r w:rsidRPr="000F0DCD">
        <w:rPr>
          <w:rFonts w:ascii="Arial" w:hAnsi="Arial" w:cs="Arial"/>
        </w:rPr>
        <w:t xml:space="preserve"> Parish Council, its Members and Officer(s) to meeting the Public Sector Equality Duty which came into force on </w:t>
      </w:r>
      <w:r>
        <w:rPr>
          <w:rFonts w:ascii="Arial" w:hAnsi="Arial" w:cs="Arial"/>
        </w:rPr>
        <w:t xml:space="preserve">5 April </w:t>
      </w:r>
      <w:r w:rsidR="00E3350A">
        <w:rPr>
          <w:rFonts w:ascii="Arial" w:hAnsi="Arial" w:cs="Arial"/>
        </w:rPr>
        <w:t>2011</w:t>
      </w:r>
      <w:r>
        <w:rPr>
          <w:rFonts w:ascii="Arial" w:hAnsi="Arial" w:cs="Arial"/>
        </w:rPr>
        <w:t>. The aims of the Equality Duty are to</w:t>
      </w:r>
      <w:r w:rsidR="00CC53F1">
        <w:rPr>
          <w:rFonts w:ascii="Arial" w:hAnsi="Arial" w:cs="Arial"/>
        </w:rPr>
        <w:t>:</w:t>
      </w:r>
    </w:p>
    <w:p w14:paraId="708983BD" w14:textId="77777777" w:rsidR="000F0DCD" w:rsidRDefault="000F0DCD" w:rsidP="000F0DCD">
      <w:pPr>
        <w:rPr>
          <w:rFonts w:ascii="Arial" w:hAnsi="Arial" w:cs="Arial"/>
        </w:rPr>
      </w:pPr>
    </w:p>
    <w:p w14:paraId="668FE7FD" w14:textId="77777777" w:rsidR="000F0DCD" w:rsidRPr="000F0DCD" w:rsidRDefault="000F0DCD" w:rsidP="002722BB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0F0DCD">
        <w:rPr>
          <w:rFonts w:ascii="Arial" w:hAnsi="Arial" w:cs="Arial"/>
        </w:rPr>
        <w:t xml:space="preserve">Eliminate unlawful discrimination, harassment, victimisation and any other conduct prohibited by the </w:t>
      </w:r>
      <w:r w:rsidR="008A266B">
        <w:rPr>
          <w:rFonts w:ascii="Arial" w:hAnsi="Arial" w:cs="Arial"/>
        </w:rPr>
        <w:t xml:space="preserve">2010 Equality </w:t>
      </w:r>
      <w:r w:rsidRPr="000F0DCD">
        <w:rPr>
          <w:rFonts w:ascii="Arial" w:hAnsi="Arial" w:cs="Arial"/>
        </w:rPr>
        <w:t>Act.</w:t>
      </w:r>
    </w:p>
    <w:p w14:paraId="39C3B857" w14:textId="77777777" w:rsidR="000F0DCD" w:rsidRDefault="000F0DCD" w:rsidP="002722BB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Advance equality of opportunity between people who share a protected characteristic and people who do not share it.</w:t>
      </w:r>
    </w:p>
    <w:p w14:paraId="2483BCDF" w14:textId="77777777" w:rsidR="000F0DCD" w:rsidRDefault="000F0DCD" w:rsidP="002722BB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Foster </w:t>
      </w:r>
      <w:r w:rsidR="00747572">
        <w:rPr>
          <w:rFonts w:ascii="Arial" w:hAnsi="Arial" w:cs="Arial"/>
        </w:rPr>
        <w:t>good relations between people who share a protected characteristic and people who do not share it.</w:t>
      </w:r>
    </w:p>
    <w:p w14:paraId="6CF173A0" w14:textId="77777777" w:rsidR="00E3350A" w:rsidRDefault="00E3350A" w:rsidP="00E3350A">
      <w:pPr>
        <w:rPr>
          <w:rFonts w:ascii="Arial" w:hAnsi="Arial" w:cs="Arial"/>
        </w:rPr>
      </w:pPr>
    </w:p>
    <w:p w14:paraId="05EDBF4F" w14:textId="77777777" w:rsidR="00E3350A" w:rsidRDefault="00E3350A" w:rsidP="002722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Public Sector Equality Duty ensures that all public bodies play their part in making society fairer by tackling discrimination and providing equality of opportunity for all. </w:t>
      </w:r>
    </w:p>
    <w:p w14:paraId="0CD0E8AF" w14:textId="77777777" w:rsidR="00E3350A" w:rsidRDefault="00E3350A" w:rsidP="002722BB">
      <w:pPr>
        <w:jc w:val="both"/>
        <w:rPr>
          <w:rFonts w:ascii="Arial" w:hAnsi="Arial" w:cs="Arial"/>
        </w:rPr>
      </w:pPr>
    </w:p>
    <w:p w14:paraId="457B30C7" w14:textId="5B808645" w:rsidR="00E3350A" w:rsidRDefault="00E3350A" w:rsidP="002722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 discriminate against someone means to treat them less favourably, to harass or victimise them or subject them to a provision, criterion or practice which puts them at a disadvantage. Under the terms of the 2010 Equality Act, it is unlawful to discriminate against an individual on the grounds of the following protected characteristics:</w:t>
      </w:r>
    </w:p>
    <w:p w14:paraId="220B2CC5" w14:textId="77777777" w:rsidR="00E3350A" w:rsidRDefault="00E3350A" w:rsidP="00E3350A">
      <w:pPr>
        <w:rPr>
          <w:rFonts w:ascii="Arial" w:hAnsi="Arial" w:cs="Arial"/>
        </w:rPr>
      </w:pPr>
    </w:p>
    <w:p w14:paraId="21C13951" w14:textId="77777777" w:rsidR="00E3350A" w:rsidRDefault="00E3350A" w:rsidP="00E3350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Age</w:t>
      </w:r>
    </w:p>
    <w:p w14:paraId="0CC0914D" w14:textId="77777777" w:rsidR="00E3350A" w:rsidRDefault="00E3350A" w:rsidP="00E3350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Disability</w:t>
      </w:r>
    </w:p>
    <w:p w14:paraId="5292E547" w14:textId="77777777" w:rsidR="00E3350A" w:rsidRDefault="00E3350A" w:rsidP="00E3350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Gender reassignment</w:t>
      </w:r>
    </w:p>
    <w:p w14:paraId="6872B85F" w14:textId="77777777" w:rsidR="00E3350A" w:rsidRDefault="00E3350A" w:rsidP="00E3350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Pregnancy and maternity</w:t>
      </w:r>
    </w:p>
    <w:p w14:paraId="1417FDB7" w14:textId="77777777" w:rsidR="00E3350A" w:rsidRDefault="00E3350A" w:rsidP="00E3350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Race</w:t>
      </w:r>
    </w:p>
    <w:p w14:paraId="776D09DA" w14:textId="77777777" w:rsidR="00E3350A" w:rsidRDefault="00E3350A" w:rsidP="00E3350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Religion or belief</w:t>
      </w:r>
    </w:p>
    <w:p w14:paraId="2D1FEF20" w14:textId="77777777" w:rsidR="00E3350A" w:rsidRDefault="00E3350A" w:rsidP="00E3350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Sex</w:t>
      </w:r>
    </w:p>
    <w:p w14:paraId="3D256D13" w14:textId="77777777" w:rsidR="00E3350A" w:rsidRDefault="00E3350A" w:rsidP="00E3350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Sexual orientation</w:t>
      </w:r>
    </w:p>
    <w:p w14:paraId="5FD6528F" w14:textId="77777777" w:rsidR="00E3350A" w:rsidRPr="00E3350A" w:rsidRDefault="00E3350A" w:rsidP="00E3350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Marriage and civil partnership</w:t>
      </w:r>
    </w:p>
    <w:p w14:paraId="3C2A1DED" w14:textId="77777777" w:rsidR="00723CC2" w:rsidRPr="000F0DCD" w:rsidRDefault="00723CC2" w:rsidP="000F0DCD">
      <w:pPr>
        <w:pStyle w:val="ListParagraph"/>
        <w:ind w:left="768"/>
        <w:rPr>
          <w:rFonts w:ascii="Arial" w:eastAsia="Times New Roman" w:hAnsi="Arial" w:cs="Arial"/>
          <w:sz w:val="24"/>
          <w:szCs w:val="24"/>
          <w:lang w:val="en-US"/>
        </w:rPr>
      </w:pPr>
    </w:p>
    <w:p w14:paraId="36CAEF1B" w14:textId="2BFE72A2" w:rsidR="00723CC2" w:rsidRPr="00A66BDF" w:rsidRDefault="00345CFC" w:rsidP="002722BB">
      <w:pPr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Barnby in the Willows</w:t>
      </w:r>
      <w:r w:rsidR="002722BB" w:rsidRPr="00A66BDF">
        <w:rPr>
          <w:rFonts w:ascii="Arial" w:eastAsia="Times New Roman" w:hAnsi="Arial" w:cs="Arial"/>
          <w:lang w:val="en-US"/>
        </w:rPr>
        <w:t xml:space="preserve"> Parish Council is opposed to </w:t>
      </w:r>
      <w:r w:rsidR="00AB3FA7" w:rsidRPr="00A66BDF">
        <w:rPr>
          <w:rFonts w:ascii="Arial" w:eastAsia="Times New Roman" w:hAnsi="Arial" w:cs="Arial"/>
          <w:lang w:val="en-US"/>
        </w:rPr>
        <w:t xml:space="preserve">and will challenge </w:t>
      </w:r>
      <w:r w:rsidR="002722BB" w:rsidRPr="00A66BDF">
        <w:rPr>
          <w:rFonts w:ascii="Arial" w:eastAsia="Times New Roman" w:hAnsi="Arial" w:cs="Arial"/>
          <w:lang w:val="en-US"/>
        </w:rPr>
        <w:t xml:space="preserve">all forms of unlawful and unfair discrimination. All people and employees will be treated fairly and will not be discriminated against on any of the above grounds. All decisions </w:t>
      </w:r>
      <w:r w:rsidR="00CC53F1">
        <w:rPr>
          <w:rFonts w:ascii="Arial" w:eastAsia="Times New Roman" w:hAnsi="Arial" w:cs="Arial"/>
          <w:lang w:val="en-US"/>
        </w:rPr>
        <w:t xml:space="preserve">of the Council </w:t>
      </w:r>
      <w:r w:rsidR="002722BB" w:rsidRPr="00A66BDF">
        <w:rPr>
          <w:rFonts w:ascii="Arial" w:eastAsia="Times New Roman" w:hAnsi="Arial" w:cs="Arial"/>
          <w:lang w:val="en-US"/>
        </w:rPr>
        <w:t xml:space="preserve">will be made objectively and without unlawful discrimination. </w:t>
      </w:r>
    </w:p>
    <w:p w14:paraId="2243A8C4" w14:textId="77777777" w:rsidR="002722BB" w:rsidRPr="00A66BDF" w:rsidRDefault="002722BB" w:rsidP="002722BB">
      <w:pPr>
        <w:jc w:val="both"/>
        <w:rPr>
          <w:rFonts w:ascii="Arial" w:eastAsia="Times New Roman" w:hAnsi="Arial" w:cs="Arial"/>
          <w:lang w:val="en-US"/>
        </w:rPr>
      </w:pPr>
    </w:p>
    <w:p w14:paraId="18AE2565" w14:textId="77777777" w:rsidR="002722BB" w:rsidRPr="00A66BDF" w:rsidRDefault="00345CFC" w:rsidP="002722BB">
      <w:pPr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Barnby in the Willows</w:t>
      </w:r>
      <w:r w:rsidR="002722BB" w:rsidRPr="00A66BDF">
        <w:rPr>
          <w:rFonts w:ascii="Arial" w:eastAsia="Times New Roman" w:hAnsi="Arial" w:cs="Arial"/>
          <w:lang w:val="en-US"/>
        </w:rPr>
        <w:t xml:space="preserve"> Parish Council aims to create a culture that respects and values each other</w:t>
      </w:r>
      <w:r w:rsidR="008A266B">
        <w:rPr>
          <w:rFonts w:ascii="Arial" w:eastAsia="Times New Roman" w:hAnsi="Arial" w:cs="Arial"/>
          <w:lang w:val="en-US"/>
        </w:rPr>
        <w:t>’</w:t>
      </w:r>
      <w:r w:rsidR="002722BB" w:rsidRPr="00A66BDF">
        <w:rPr>
          <w:rFonts w:ascii="Arial" w:eastAsia="Times New Roman" w:hAnsi="Arial" w:cs="Arial"/>
          <w:lang w:val="en-US"/>
        </w:rPr>
        <w:t>s differences and promotes dignity, equality and diversity, allowing all individuals and groups to realise their potential and contribute fully to the community.</w:t>
      </w:r>
    </w:p>
    <w:p w14:paraId="6BDD6463" w14:textId="77777777" w:rsidR="002722BB" w:rsidRPr="00A66BDF" w:rsidRDefault="002722BB" w:rsidP="002722BB">
      <w:pPr>
        <w:jc w:val="both"/>
        <w:rPr>
          <w:rFonts w:ascii="Arial" w:eastAsia="Times New Roman" w:hAnsi="Arial" w:cs="Arial"/>
          <w:lang w:val="en-US"/>
        </w:rPr>
      </w:pPr>
    </w:p>
    <w:p w14:paraId="27611BDC" w14:textId="77777777" w:rsidR="00AB3FA7" w:rsidRPr="00A66BDF" w:rsidRDefault="00512DAD" w:rsidP="00AB3FA7">
      <w:pPr>
        <w:jc w:val="both"/>
        <w:rPr>
          <w:rFonts w:ascii="Arial" w:eastAsia="Times New Roman" w:hAnsi="Arial" w:cs="Arial"/>
          <w:lang w:val="en-US"/>
        </w:rPr>
      </w:pPr>
      <w:r w:rsidRPr="00A66BDF">
        <w:rPr>
          <w:rFonts w:ascii="Arial" w:eastAsia="Times New Roman" w:hAnsi="Arial" w:cs="Arial"/>
          <w:lang w:val="en-US"/>
        </w:rPr>
        <w:t>All employees will be treated fairly and equally. Selection for employment, promotion, training, remuneration or any other benefit will be on the basis of aptitude and ability.</w:t>
      </w:r>
      <w:r w:rsidR="00AB3FA7" w:rsidRPr="00A66BDF">
        <w:rPr>
          <w:rFonts w:ascii="Arial" w:eastAsia="Times New Roman" w:hAnsi="Arial" w:cs="Arial"/>
          <w:lang w:val="en-US"/>
        </w:rPr>
        <w:t xml:space="preserve"> Employees are entitled to complain about discrimination, harassment or victimisation through the Council’s Grievance Procedure.</w:t>
      </w:r>
    </w:p>
    <w:p w14:paraId="53767DFE" w14:textId="77777777" w:rsidR="002722BB" w:rsidRPr="00A66BDF" w:rsidRDefault="002722BB" w:rsidP="002722BB">
      <w:pPr>
        <w:jc w:val="both"/>
        <w:rPr>
          <w:rFonts w:ascii="Arial" w:eastAsia="Times New Roman" w:hAnsi="Arial" w:cs="Arial"/>
          <w:lang w:val="en-US"/>
        </w:rPr>
      </w:pPr>
    </w:p>
    <w:p w14:paraId="03CC6686" w14:textId="72ED2DB9" w:rsidR="00512DAD" w:rsidRDefault="00345CFC" w:rsidP="002722BB">
      <w:pPr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Barnby in the Willows</w:t>
      </w:r>
      <w:r w:rsidR="00AB3FA7" w:rsidRPr="00A66BDF">
        <w:rPr>
          <w:rFonts w:ascii="Arial" w:eastAsia="Times New Roman" w:hAnsi="Arial" w:cs="Arial"/>
          <w:lang w:val="en-US"/>
        </w:rPr>
        <w:t xml:space="preserve"> Parish Council aims to provide equality and fairness to all in the community and expects all Members and Officers to be aware of and understand the Equality Act 2010. </w:t>
      </w:r>
      <w:r w:rsidR="00512DAD" w:rsidRPr="00A66BDF">
        <w:rPr>
          <w:rFonts w:ascii="Arial" w:eastAsia="Times New Roman" w:hAnsi="Arial" w:cs="Arial"/>
          <w:lang w:val="en-US"/>
        </w:rPr>
        <w:t>Breaches of the Council’s Equal</w:t>
      </w:r>
      <w:r w:rsidR="00805D9D" w:rsidRPr="00A66BDF">
        <w:rPr>
          <w:rFonts w:ascii="Arial" w:eastAsia="Times New Roman" w:hAnsi="Arial" w:cs="Arial"/>
          <w:lang w:val="en-US"/>
        </w:rPr>
        <w:t>ity</w:t>
      </w:r>
      <w:r w:rsidR="00512DAD" w:rsidRPr="00A66BDF">
        <w:rPr>
          <w:rFonts w:ascii="Arial" w:eastAsia="Times New Roman" w:hAnsi="Arial" w:cs="Arial"/>
          <w:lang w:val="en-US"/>
        </w:rPr>
        <w:t xml:space="preserve"> Policy will be regarded as serious misconduct. </w:t>
      </w:r>
    </w:p>
    <w:p w14:paraId="1000187B" w14:textId="6EB7ED57" w:rsidR="00E73D51" w:rsidRDefault="00E73D51" w:rsidP="002722BB">
      <w:pPr>
        <w:jc w:val="both"/>
        <w:rPr>
          <w:rFonts w:ascii="Arial" w:eastAsia="Times New Roman" w:hAnsi="Arial" w:cs="Arial"/>
          <w:lang w:val="en-US"/>
        </w:rPr>
      </w:pPr>
    </w:p>
    <w:p w14:paraId="21190776" w14:textId="41BA87F4" w:rsidR="00E73D51" w:rsidRPr="00A66BDF" w:rsidRDefault="00E73D51" w:rsidP="002722BB">
      <w:pPr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Last reviewed May 2021.</w:t>
      </w:r>
    </w:p>
    <w:sectPr w:rsidR="00E73D51" w:rsidRPr="00A66BDF" w:rsidSect="00FB51E7">
      <w:headerReference w:type="default" r:id="rId8"/>
      <w:footerReference w:type="default" r:id="rId9"/>
      <w:pgSz w:w="11906" w:h="16838"/>
      <w:pgMar w:top="-208" w:right="1416" w:bottom="426" w:left="993" w:header="708" w:footer="1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71397" w14:textId="77777777" w:rsidR="007F4ED5" w:rsidRDefault="007F4ED5" w:rsidP="00B23153">
      <w:r>
        <w:separator/>
      </w:r>
    </w:p>
  </w:endnote>
  <w:endnote w:type="continuationSeparator" w:id="0">
    <w:p w14:paraId="51AA0A23" w14:textId="77777777" w:rsidR="007F4ED5" w:rsidRDefault="007F4ED5" w:rsidP="00B23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E479E" w14:textId="77777777" w:rsidR="00537BF9" w:rsidRPr="00FC6FC2" w:rsidRDefault="00537BF9" w:rsidP="00E542F0">
    <w:pPr>
      <w:pStyle w:val="NoSpacing"/>
      <w:rPr>
        <w:color w:val="31849B" w:themeColor="accent5" w:themeShade="BF"/>
      </w:rPr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</w:t>
    </w:r>
  </w:p>
  <w:p w14:paraId="5C5E426D" w14:textId="77777777" w:rsidR="00537BF9" w:rsidRPr="00FC6FC2" w:rsidRDefault="00537BF9">
    <w:pPr>
      <w:pStyle w:val="Footer"/>
      <w:rPr>
        <w:color w:val="31849B" w:themeColor="accent5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D0132" w14:textId="77777777" w:rsidR="007F4ED5" w:rsidRDefault="007F4ED5" w:rsidP="00B23153">
      <w:r>
        <w:separator/>
      </w:r>
    </w:p>
  </w:footnote>
  <w:footnote w:type="continuationSeparator" w:id="0">
    <w:p w14:paraId="44178583" w14:textId="77777777" w:rsidR="007F4ED5" w:rsidRDefault="007F4ED5" w:rsidP="00B23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B00F7" w14:textId="77777777" w:rsidR="00537BF9" w:rsidRDefault="00537BF9" w:rsidP="00E542F0">
    <w:pPr>
      <w:pStyle w:val="NoSpacing"/>
      <w:rPr>
        <w:color w:val="31849B" w:themeColor="accent5" w:themeShade="BF"/>
      </w:rPr>
    </w:pPr>
    <w:r>
      <w:rPr>
        <w:rFonts w:asciiTheme="majorHAnsi" w:hAnsiTheme="majorHAnsi"/>
        <w:b/>
        <w:color w:val="31849B" w:themeColor="accent5" w:themeShade="BF"/>
        <w:sz w:val="40"/>
        <w:szCs w:val="40"/>
      </w:rPr>
      <w:tab/>
    </w:r>
    <w:r w:rsidR="00345CFC">
      <w:rPr>
        <w:rFonts w:asciiTheme="majorHAnsi" w:hAnsiTheme="majorHAnsi"/>
        <w:b/>
        <w:color w:val="31849B" w:themeColor="accent5" w:themeShade="BF"/>
        <w:sz w:val="40"/>
        <w:szCs w:val="40"/>
      </w:rPr>
      <w:t>BARNBY IN THE WILLOWS</w:t>
    </w:r>
    <w:r w:rsidRPr="00B23153">
      <w:rPr>
        <w:rFonts w:asciiTheme="majorHAnsi" w:hAnsiTheme="majorHAnsi"/>
        <w:b/>
        <w:color w:val="31849B" w:themeColor="accent5" w:themeShade="BF"/>
        <w:sz w:val="40"/>
        <w:szCs w:val="40"/>
      </w:rPr>
      <w:t xml:space="preserve"> PARISH COUNCIL</w:t>
    </w:r>
    <w:r w:rsidRPr="00E542F0">
      <w:rPr>
        <w:color w:val="31849B" w:themeColor="accent5" w:themeShade="BF"/>
      </w:rPr>
      <w:t xml:space="preserve"> </w:t>
    </w:r>
  </w:p>
  <w:p w14:paraId="1B80F553" w14:textId="77777777" w:rsidR="00537BF9" w:rsidRDefault="00537BF9" w:rsidP="00B23153">
    <w:pPr>
      <w:tabs>
        <w:tab w:val="left" w:pos="1680"/>
        <w:tab w:val="center" w:pos="5218"/>
      </w:tabs>
      <w:ind w:left="-540" w:right="-630"/>
      <w:rPr>
        <w:rFonts w:asciiTheme="majorHAnsi" w:hAnsiTheme="majorHAnsi"/>
        <w:b/>
        <w:color w:val="31849B" w:themeColor="accent5" w:themeShade="BF"/>
        <w:sz w:val="40"/>
        <w:szCs w:val="40"/>
      </w:rPr>
    </w:pPr>
  </w:p>
  <w:p w14:paraId="3D5032B7" w14:textId="77777777" w:rsidR="00537BF9" w:rsidRPr="00B23153" w:rsidRDefault="00537BF9" w:rsidP="00B23153">
    <w:pPr>
      <w:tabs>
        <w:tab w:val="left" w:pos="1680"/>
        <w:tab w:val="center" w:pos="5218"/>
      </w:tabs>
      <w:ind w:left="-540" w:right="-630"/>
      <w:rPr>
        <w:noProof/>
        <w:sz w:val="40"/>
        <w:szCs w:val="40"/>
        <w:lang w:eastAsia="en-GB"/>
      </w:rPr>
    </w:pPr>
  </w:p>
  <w:p w14:paraId="48B66DD9" w14:textId="77777777" w:rsidR="00537BF9" w:rsidRDefault="00537BF9" w:rsidP="00E542F0">
    <w:pPr>
      <w:pStyle w:val="Header"/>
      <w:tabs>
        <w:tab w:val="clear" w:pos="4513"/>
        <w:tab w:val="clear" w:pos="9026"/>
        <w:tab w:val="left" w:pos="6457"/>
      </w:tabs>
    </w:pPr>
    <w:r>
      <w:tab/>
    </w:r>
  </w:p>
  <w:p w14:paraId="19A0EFBB" w14:textId="77777777" w:rsidR="00537BF9" w:rsidRDefault="00537BF9" w:rsidP="00B23153">
    <w:pPr>
      <w:pStyle w:val="Header"/>
      <w:tabs>
        <w:tab w:val="clear" w:pos="4513"/>
        <w:tab w:val="clear" w:pos="9026"/>
        <w:tab w:val="left" w:pos="2016"/>
      </w:tabs>
    </w:pPr>
  </w:p>
  <w:p w14:paraId="4E19A0DD" w14:textId="77777777" w:rsidR="00537BF9" w:rsidRDefault="00537BF9" w:rsidP="00B23153">
    <w:pPr>
      <w:pStyle w:val="Header"/>
      <w:tabs>
        <w:tab w:val="clear" w:pos="4513"/>
        <w:tab w:val="clear" w:pos="9026"/>
        <w:tab w:val="left" w:pos="2016"/>
      </w:tabs>
    </w:pPr>
  </w:p>
  <w:p w14:paraId="483D2683" w14:textId="77777777" w:rsidR="00537BF9" w:rsidRDefault="00537BF9" w:rsidP="00B23153">
    <w:pPr>
      <w:pStyle w:val="Header"/>
      <w:tabs>
        <w:tab w:val="clear" w:pos="4513"/>
        <w:tab w:val="clear" w:pos="9026"/>
        <w:tab w:val="left" w:pos="2016"/>
      </w:tabs>
    </w:pPr>
  </w:p>
  <w:p w14:paraId="6CFB3C77" w14:textId="77777777" w:rsidR="00537BF9" w:rsidRDefault="00537BF9">
    <w:pPr>
      <w:pStyle w:val="Header"/>
    </w:pPr>
  </w:p>
  <w:p w14:paraId="7D4B8901" w14:textId="77777777" w:rsidR="00537BF9" w:rsidRDefault="00537BF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6B6A"/>
    <w:multiLevelType w:val="hybridMultilevel"/>
    <w:tmpl w:val="73FCE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005CD"/>
    <w:multiLevelType w:val="hybridMultilevel"/>
    <w:tmpl w:val="81ECDD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F0823"/>
    <w:multiLevelType w:val="hybridMultilevel"/>
    <w:tmpl w:val="B9F21EA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52332C6F"/>
    <w:multiLevelType w:val="hybridMultilevel"/>
    <w:tmpl w:val="BC70B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37B5F"/>
    <w:multiLevelType w:val="hybridMultilevel"/>
    <w:tmpl w:val="E6FE62B6"/>
    <w:lvl w:ilvl="0" w:tplc="74E276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2457E"/>
    <w:multiLevelType w:val="multilevel"/>
    <w:tmpl w:val="D084E4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D06"/>
    <w:rsid w:val="00002752"/>
    <w:rsid w:val="00003816"/>
    <w:rsid w:val="000258B0"/>
    <w:rsid w:val="000C554B"/>
    <w:rsid w:val="000D15B8"/>
    <w:rsid w:val="000F0DCD"/>
    <w:rsid w:val="000F3D06"/>
    <w:rsid w:val="0016143B"/>
    <w:rsid w:val="001B3BC3"/>
    <w:rsid w:val="0020739B"/>
    <w:rsid w:val="00252241"/>
    <w:rsid w:val="0026478D"/>
    <w:rsid w:val="002722BB"/>
    <w:rsid w:val="002B3614"/>
    <w:rsid w:val="002F1F0E"/>
    <w:rsid w:val="00302256"/>
    <w:rsid w:val="003400C0"/>
    <w:rsid w:val="00345CFC"/>
    <w:rsid w:val="003725DF"/>
    <w:rsid w:val="003B4E06"/>
    <w:rsid w:val="00437D01"/>
    <w:rsid w:val="00457AFA"/>
    <w:rsid w:val="004A7746"/>
    <w:rsid w:val="004E1264"/>
    <w:rsid w:val="004E3F83"/>
    <w:rsid w:val="00512DAD"/>
    <w:rsid w:val="00537BF9"/>
    <w:rsid w:val="0057121F"/>
    <w:rsid w:val="005978EB"/>
    <w:rsid w:val="005E7C03"/>
    <w:rsid w:val="00677F72"/>
    <w:rsid w:val="006B4213"/>
    <w:rsid w:val="006F1D93"/>
    <w:rsid w:val="00723CC2"/>
    <w:rsid w:val="00747572"/>
    <w:rsid w:val="007F4ED5"/>
    <w:rsid w:val="00805D9D"/>
    <w:rsid w:val="00854C3E"/>
    <w:rsid w:val="008606FD"/>
    <w:rsid w:val="00866A56"/>
    <w:rsid w:val="008A266B"/>
    <w:rsid w:val="00924AAF"/>
    <w:rsid w:val="009414DF"/>
    <w:rsid w:val="0097161F"/>
    <w:rsid w:val="00986B65"/>
    <w:rsid w:val="009B23DB"/>
    <w:rsid w:val="00A03C17"/>
    <w:rsid w:val="00A66BDF"/>
    <w:rsid w:val="00AB3FA7"/>
    <w:rsid w:val="00B23153"/>
    <w:rsid w:val="00B33959"/>
    <w:rsid w:val="00BA2056"/>
    <w:rsid w:val="00BA3B7F"/>
    <w:rsid w:val="00BA66AB"/>
    <w:rsid w:val="00BC5555"/>
    <w:rsid w:val="00C60784"/>
    <w:rsid w:val="00CB6D97"/>
    <w:rsid w:val="00CC53F1"/>
    <w:rsid w:val="00CF2052"/>
    <w:rsid w:val="00D517BE"/>
    <w:rsid w:val="00DB2A08"/>
    <w:rsid w:val="00DF1A0F"/>
    <w:rsid w:val="00E03A82"/>
    <w:rsid w:val="00E3350A"/>
    <w:rsid w:val="00E5377E"/>
    <w:rsid w:val="00E542F0"/>
    <w:rsid w:val="00E60B60"/>
    <w:rsid w:val="00E73D51"/>
    <w:rsid w:val="00E77BF6"/>
    <w:rsid w:val="00E900B9"/>
    <w:rsid w:val="00EA7BA9"/>
    <w:rsid w:val="00EB053B"/>
    <w:rsid w:val="00FB51E7"/>
    <w:rsid w:val="00FC6FC2"/>
    <w:rsid w:val="00FF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A7AA4"/>
  <w15:docId w15:val="{4E38F4A1-962A-4086-A50E-45A7AD77B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D0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C5555"/>
  </w:style>
  <w:style w:type="paragraph" w:styleId="Header">
    <w:name w:val="header"/>
    <w:basedOn w:val="Normal"/>
    <w:link w:val="HeaderChar"/>
    <w:uiPriority w:val="99"/>
    <w:unhideWhenUsed/>
    <w:rsid w:val="00B231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153"/>
  </w:style>
  <w:style w:type="paragraph" w:styleId="Footer">
    <w:name w:val="footer"/>
    <w:basedOn w:val="Normal"/>
    <w:link w:val="FooterChar"/>
    <w:uiPriority w:val="99"/>
    <w:unhideWhenUsed/>
    <w:rsid w:val="00B231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153"/>
  </w:style>
  <w:style w:type="paragraph" w:styleId="ListParagraph">
    <w:name w:val="List Paragraph"/>
    <w:basedOn w:val="Normal"/>
    <w:uiPriority w:val="34"/>
    <w:qFormat/>
    <w:rsid w:val="005E7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E074E-4C62-4036-A402-8116EB732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Cowlan, Helen</cp:lastModifiedBy>
  <cp:revision>3</cp:revision>
  <cp:lastPrinted>2018-05-23T10:31:00Z</cp:lastPrinted>
  <dcterms:created xsi:type="dcterms:W3CDTF">2019-04-29T09:39:00Z</dcterms:created>
  <dcterms:modified xsi:type="dcterms:W3CDTF">2021-04-27T19:45:00Z</dcterms:modified>
</cp:coreProperties>
</file>